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ind w:firstLine="0" w:firstLineChars="0"/>
        <w:jc w:val="center"/>
        <w:rPr>
          <w:rFonts w:ascii="方正小标宋简体" w:hAnsi="宋体" w:eastAsia="方正小标宋简体" w:cs="Times New Roman"/>
          <w:sz w:val="36"/>
          <w:szCs w:val="36"/>
          <w:highlight w:val="none"/>
        </w:rPr>
      </w:pPr>
      <w:r>
        <w:rPr>
          <w:rFonts w:hint="eastAsia" w:ascii="方正小标宋简体" w:hAnsi="宋体" w:eastAsia="方正小标宋简体" w:cs="方正小标宋简体"/>
          <w:sz w:val="36"/>
          <w:szCs w:val="36"/>
          <w:highlight w:val="none"/>
          <w:lang w:val="en-US" w:eastAsia="zh-CN"/>
        </w:rPr>
        <w:t>2022</w:t>
      </w:r>
      <w:r>
        <w:rPr>
          <w:rFonts w:hint="eastAsia" w:ascii="方正小标宋简体" w:hAnsi="宋体" w:eastAsia="方正小标宋简体" w:cs="方正小标宋简体"/>
          <w:sz w:val="36"/>
          <w:szCs w:val="36"/>
          <w:highlight w:val="none"/>
        </w:rPr>
        <w:t>年度</w:t>
      </w:r>
      <w:r>
        <w:rPr>
          <w:rFonts w:hint="eastAsia" w:ascii="方正小标宋简体" w:hAnsi="宋体" w:eastAsia="方正小标宋简体" w:cs="方正小标宋简体"/>
          <w:sz w:val="36"/>
          <w:szCs w:val="36"/>
          <w:highlight w:val="none"/>
          <w:lang w:val="en-US" w:eastAsia="zh-CN"/>
        </w:rPr>
        <w:t>荆州市长江船舶疏浚总队整体绩效</w:t>
      </w:r>
      <w:r>
        <w:rPr>
          <w:rFonts w:hint="eastAsia" w:ascii="方正小标宋简体" w:hAnsi="宋体" w:eastAsia="方正小标宋简体" w:cs="方正小标宋简体"/>
          <w:sz w:val="36"/>
          <w:szCs w:val="36"/>
          <w:highlight w:val="none"/>
        </w:rPr>
        <w:t>自评表</w:t>
      </w:r>
    </w:p>
    <w:p>
      <w:pPr>
        <w:spacing w:line="240" w:lineRule="auto"/>
        <w:ind w:firstLine="0" w:firstLineChars="0"/>
        <w:rPr>
          <w:rFonts w:ascii="等线" w:hAnsi="等线" w:eastAsia="等线" w:cs="Times New Roman"/>
          <w:sz w:val="21"/>
          <w:szCs w:val="21"/>
          <w:highlight w:val="none"/>
        </w:rPr>
      </w:pPr>
    </w:p>
    <w:p>
      <w:pPr>
        <w:widowControl/>
        <w:spacing w:line="240" w:lineRule="auto"/>
        <w:ind w:firstLine="0" w:firstLineChars="0"/>
        <w:jc w:val="left"/>
        <w:rPr>
          <w:rFonts w:hint="default" w:ascii="楷体_GB2312" w:hAnsi="黑体" w:eastAsia="楷体_GB2312" w:cs="Times New Roman"/>
          <w:kern w:val="0"/>
          <w:sz w:val="48"/>
          <w:szCs w:val="48"/>
          <w:highlight w:val="none"/>
          <w:lang w:val="en-US" w:eastAsia="zh-CN"/>
        </w:rPr>
      </w:pPr>
      <w:r>
        <w:rPr>
          <w:rFonts w:hint="eastAsia" w:ascii="楷体_GB2312" w:hAnsi="仿宋" w:eastAsia="楷体_GB2312" w:cs="楷体_GB2312"/>
          <w:kern w:val="0"/>
          <w:sz w:val="28"/>
          <w:szCs w:val="28"/>
          <w:highlight w:val="none"/>
        </w:rPr>
        <w:t>单位名称：荆州市长江船舶疏浚总队</w:t>
      </w:r>
      <w:r>
        <w:rPr>
          <w:rFonts w:ascii="楷体_GB2312" w:hAnsi="仿宋" w:eastAsia="楷体_GB2312" w:cs="楷体_GB2312"/>
          <w:kern w:val="0"/>
          <w:sz w:val="28"/>
          <w:szCs w:val="28"/>
          <w:highlight w:val="none"/>
        </w:rPr>
        <w:t xml:space="preserve">          </w:t>
      </w:r>
      <w:r>
        <w:rPr>
          <w:rFonts w:hint="eastAsia" w:ascii="楷体_GB2312" w:hAnsi="仿宋" w:eastAsia="楷体_GB2312" w:cs="楷体_GB2312"/>
          <w:kern w:val="0"/>
          <w:sz w:val="28"/>
          <w:szCs w:val="28"/>
          <w:highlight w:val="none"/>
        </w:rPr>
        <w:t>填报日期：</w:t>
      </w:r>
      <w:r>
        <w:rPr>
          <w:rFonts w:hint="eastAsia" w:ascii="楷体_GB2312" w:hAnsi="仿宋" w:eastAsia="楷体_GB2312" w:cs="楷体_GB2312"/>
          <w:kern w:val="0"/>
          <w:sz w:val="28"/>
          <w:szCs w:val="28"/>
          <w:highlight w:val="none"/>
          <w:lang w:val="en-US" w:eastAsia="zh-CN"/>
        </w:rPr>
        <w:t>2023-3-13</w:t>
      </w:r>
    </w:p>
    <w:tbl>
      <w:tblPr>
        <w:tblStyle w:val="5"/>
        <w:tblW w:w="4984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8"/>
        <w:gridCol w:w="135"/>
        <w:gridCol w:w="718"/>
        <w:gridCol w:w="1277"/>
        <w:gridCol w:w="1243"/>
        <w:gridCol w:w="200"/>
        <w:gridCol w:w="444"/>
        <w:gridCol w:w="1"/>
        <w:gridCol w:w="666"/>
        <w:gridCol w:w="1057"/>
        <w:gridCol w:w="4"/>
        <w:gridCol w:w="33"/>
        <w:gridCol w:w="781"/>
        <w:gridCol w:w="11"/>
        <w:gridCol w:w="11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08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单位名称</w:t>
            </w:r>
          </w:p>
        </w:tc>
        <w:tc>
          <w:tcPr>
            <w:tcW w:w="4391" w:type="pct"/>
            <w:gridSpan w:val="1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荆州市长江船舶疏浚总队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08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基本支出总额</w:t>
            </w:r>
          </w:p>
        </w:tc>
        <w:tc>
          <w:tcPr>
            <w:tcW w:w="2127" w:type="pct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1260" w:firstLineChars="700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848.82</w:t>
            </w:r>
          </w:p>
        </w:tc>
        <w:tc>
          <w:tcPr>
            <w:tcW w:w="1413" w:type="pct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项目支出总额</w:t>
            </w:r>
          </w:p>
        </w:tc>
        <w:tc>
          <w:tcPr>
            <w:tcW w:w="851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default" w:ascii="宋体" w:hAnsi="宋体" w:eastAsia="宋体" w:cs="宋体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  <w:lang w:val="en-US" w:eastAsia="zh-CN"/>
              </w:rPr>
              <w:t>118.17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08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年度目标1：（XX分）</w:t>
            </w:r>
          </w:p>
        </w:tc>
        <w:tc>
          <w:tcPr>
            <w:tcW w:w="4391" w:type="pct"/>
            <w:gridSpan w:val="1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default" w:ascii="宋体" w:hAnsi="宋体" w:eastAsia="宋体" w:cs="宋体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02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年度绩效指标</w:t>
            </w:r>
          </w:p>
        </w:tc>
        <w:tc>
          <w:tcPr>
            <w:tcW w:w="555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一级指标</w:t>
            </w:r>
          </w:p>
        </w:tc>
        <w:tc>
          <w:tcPr>
            <w:tcW w:w="77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二级指标</w:t>
            </w:r>
          </w:p>
        </w:tc>
        <w:tc>
          <w:tcPr>
            <w:tcW w:w="75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三级指标</w:t>
            </w:r>
          </w:p>
        </w:tc>
        <w:tc>
          <w:tcPr>
            <w:tcW w:w="433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  <w:lang w:val="en-US" w:eastAsia="zh-CN"/>
              </w:rPr>
              <w:t>指标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  <w:lang w:val="en-US" w:eastAsia="zh-CN"/>
              </w:rPr>
              <w:t>分级</w:t>
            </w:r>
          </w:p>
        </w:tc>
        <w:tc>
          <w:tcPr>
            <w:tcW w:w="41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  <w:lang w:val="en-US" w:eastAsia="zh-CN"/>
              </w:rPr>
              <w:t>指标权重（%）</w:t>
            </w:r>
          </w:p>
        </w:tc>
        <w:tc>
          <w:tcPr>
            <w:tcW w:w="683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年初目标值（A）</w:t>
            </w:r>
          </w:p>
        </w:tc>
        <w:tc>
          <w:tcPr>
            <w:tcW w:w="559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实际完成值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（B）</w:t>
            </w:r>
          </w:p>
        </w:tc>
        <w:tc>
          <w:tcPr>
            <w:tcW w:w="31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02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555" w:type="pct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  <w:lang w:val="en-US" w:eastAsia="zh-CN"/>
              </w:rPr>
              <w:t>运行成本</w:t>
            </w:r>
          </w:p>
        </w:tc>
        <w:tc>
          <w:tcPr>
            <w:tcW w:w="778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  <w:lang w:val="en-US" w:eastAsia="zh-CN"/>
              </w:rPr>
              <w:t>基本经费成本控制</w:t>
            </w:r>
          </w:p>
        </w:tc>
        <w:tc>
          <w:tcPr>
            <w:tcW w:w="75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  <w:lang w:val="en-US" w:eastAsia="zh-CN"/>
              </w:rPr>
              <w:t>人均工资福利支出与人员经费标准匹配度</w:t>
            </w:r>
          </w:p>
        </w:tc>
        <w:tc>
          <w:tcPr>
            <w:tcW w:w="432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  <w:lang w:val="en-US" w:eastAsia="zh-CN"/>
              </w:rPr>
              <w:t>基本型</w:t>
            </w:r>
          </w:p>
        </w:tc>
        <w:tc>
          <w:tcPr>
            <w:tcW w:w="413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  <w:lang w:val="en-US" w:eastAsia="zh-CN"/>
              </w:rPr>
              <w:t>0.5</w:t>
            </w:r>
          </w:p>
        </w:tc>
        <w:tc>
          <w:tcPr>
            <w:tcW w:w="68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  <w:lang w:val="en-US" w:eastAsia="zh-CN"/>
              </w:rPr>
              <w:t>100%</w:t>
            </w:r>
          </w:p>
        </w:tc>
        <w:tc>
          <w:tcPr>
            <w:tcW w:w="559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  <w:lang w:val="en-US" w:eastAsia="zh-CN"/>
              </w:rPr>
              <w:t>100%</w:t>
            </w:r>
          </w:p>
        </w:tc>
        <w:tc>
          <w:tcPr>
            <w:tcW w:w="321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360" w:firstLineChars="20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02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555" w:type="pct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778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75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  <w:lang w:val="en-US" w:eastAsia="zh-CN"/>
              </w:rPr>
              <w:t>人均公用经费与公用经费标准匹配度</w:t>
            </w:r>
          </w:p>
        </w:tc>
        <w:tc>
          <w:tcPr>
            <w:tcW w:w="432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  <w:lang w:val="en-US" w:eastAsia="zh-CN"/>
              </w:rPr>
              <w:t>基本型</w:t>
            </w:r>
          </w:p>
        </w:tc>
        <w:tc>
          <w:tcPr>
            <w:tcW w:w="413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  <w:lang w:val="en-US" w:eastAsia="zh-CN"/>
              </w:rPr>
              <w:t>0.5</w:t>
            </w:r>
          </w:p>
        </w:tc>
        <w:tc>
          <w:tcPr>
            <w:tcW w:w="68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  <w:lang w:val="en-US" w:eastAsia="zh-CN"/>
              </w:rPr>
              <w:t>100%</w:t>
            </w:r>
          </w:p>
        </w:tc>
        <w:tc>
          <w:tcPr>
            <w:tcW w:w="559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  <w:lang w:val="en-US" w:eastAsia="zh-CN"/>
              </w:rPr>
              <w:t>100%</w:t>
            </w:r>
          </w:p>
        </w:tc>
        <w:tc>
          <w:tcPr>
            <w:tcW w:w="321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360" w:firstLineChars="20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02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555" w:type="pct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77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  <w:lang w:val="en-US" w:eastAsia="zh-CN"/>
              </w:rPr>
              <w:t>核心业务成本控制</w:t>
            </w:r>
          </w:p>
        </w:tc>
        <w:tc>
          <w:tcPr>
            <w:tcW w:w="75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</w:p>
        </w:tc>
        <w:tc>
          <w:tcPr>
            <w:tcW w:w="432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  <w:lang w:val="en-US" w:eastAsia="zh-CN"/>
              </w:rPr>
              <w:t>基本型</w:t>
            </w:r>
          </w:p>
        </w:tc>
        <w:tc>
          <w:tcPr>
            <w:tcW w:w="413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  <w:lang w:val="en-US" w:eastAsia="zh-CN"/>
              </w:rPr>
              <w:t>0.5</w:t>
            </w:r>
          </w:p>
        </w:tc>
        <w:tc>
          <w:tcPr>
            <w:tcW w:w="68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  <w:lang w:val="en-US" w:eastAsia="zh-CN"/>
              </w:rPr>
              <w:t>≥80%</w:t>
            </w:r>
          </w:p>
        </w:tc>
        <w:tc>
          <w:tcPr>
            <w:tcW w:w="559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  <w:lang w:val="en-US" w:eastAsia="zh-CN"/>
              </w:rPr>
              <w:t>100%</w:t>
            </w:r>
          </w:p>
        </w:tc>
        <w:tc>
          <w:tcPr>
            <w:tcW w:w="321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360" w:firstLineChars="20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02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555" w:type="pct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  <w:lang w:val="en-US" w:eastAsia="zh-CN"/>
              </w:rPr>
              <w:t>管理效率</w:t>
            </w:r>
          </w:p>
        </w:tc>
        <w:tc>
          <w:tcPr>
            <w:tcW w:w="778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  <w:lang w:val="en-US" w:eastAsia="zh-CN"/>
              </w:rPr>
              <w:t>战略规划管理</w:t>
            </w:r>
          </w:p>
        </w:tc>
        <w:tc>
          <w:tcPr>
            <w:tcW w:w="75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  <w:lang w:val="en-US" w:eastAsia="zh-CN"/>
              </w:rPr>
              <w:t>战略规划相符性</w:t>
            </w:r>
          </w:p>
        </w:tc>
        <w:tc>
          <w:tcPr>
            <w:tcW w:w="432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  <w:lang w:val="en-US" w:eastAsia="zh-CN"/>
              </w:rPr>
              <w:t>基本型</w:t>
            </w:r>
          </w:p>
        </w:tc>
        <w:tc>
          <w:tcPr>
            <w:tcW w:w="413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  <w:lang w:val="en-US" w:eastAsia="zh-CN"/>
              </w:rPr>
              <w:t>3.5</w:t>
            </w:r>
          </w:p>
        </w:tc>
        <w:tc>
          <w:tcPr>
            <w:tcW w:w="68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  <w:lang w:val="en-US" w:eastAsia="zh-CN"/>
              </w:rPr>
              <w:t>是/否</w:t>
            </w:r>
          </w:p>
        </w:tc>
        <w:tc>
          <w:tcPr>
            <w:tcW w:w="559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  <w:lang w:eastAsia="zh-CN"/>
              </w:rPr>
              <w:t>是</w:t>
            </w:r>
          </w:p>
        </w:tc>
        <w:tc>
          <w:tcPr>
            <w:tcW w:w="321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360" w:firstLineChars="20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02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555" w:type="pct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778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75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  <w:lang w:val="en-US" w:eastAsia="zh-CN"/>
              </w:rPr>
              <w:t>绩效目标科学性</w:t>
            </w:r>
          </w:p>
        </w:tc>
        <w:tc>
          <w:tcPr>
            <w:tcW w:w="432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  <w:lang w:val="en-US" w:eastAsia="zh-CN"/>
              </w:rPr>
              <w:t>基本型</w:t>
            </w:r>
          </w:p>
        </w:tc>
        <w:tc>
          <w:tcPr>
            <w:tcW w:w="413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  <w:lang w:val="en-US" w:eastAsia="zh-CN"/>
              </w:rPr>
              <w:t>0.5</w:t>
            </w:r>
          </w:p>
        </w:tc>
        <w:tc>
          <w:tcPr>
            <w:tcW w:w="68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  <w:lang w:val="en-US" w:eastAsia="zh-CN"/>
              </w:rPr>
              <w:t>是/否</w:t>
            </w:r>
          </w:p>
        </w:tc>
        <w:tc>
          <w:tcPr>
            <w:tcW w:w="559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  <w:lang w:eastAsia="zh-CN"/>
              </w:rPr>
              <w:t>是</w:t>
            </w:r>
          </w:p>
        </w:tc>
        <w:tc>
          <w:tcPr>
            <w:tcW w:w="321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360" w:firstLineChars="20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02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555" w:type="pct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778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75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  <w:lang w:val="en-US" w:eastAsia="zh-CN"/>
              </w:rPr>
              <w:t>预算编制科学性</w:t>
            </w:r>
          </w:p>
        </w:tc>
        <w:tc>
          <w:tcPr>
            <w:tcW w:w="432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  <w:lang w:val="en-US" w:eastAsia="zh-CN"/>
              </w:rPr>
              <w:t>基本型</w:t>
            </w:r>
          </w:p>
        </w:tc>
        <w:tc>
          <w:tcPr>
            <w:tcW w:w="413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  <w:lang w:val="en-US" w:eastAsia="zh-CN"/>
              </w:rPr>
              <w:t>0.5</w:t>
            </w:r>
          </w:p>
        </w:tc>
        <w:tc>
          <w:tcPr>
            <w:tcW w:w="68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  <w:lang w:val="en-US" w:eastAsia="zh-CN"/>
              </w:rPr>
              <w:t>是/否</w:t>
            </w:r>
          </w:p>
        </w:tc>
        <w:tc>
          <w:tcPr>
            <w:tcW w:w="559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  <w:lang w:eastAsia="zh-CN"/>
              </w:rPr>
              <w:t>是</w:t>
            </w:r>
          </w:p>
        </w:tc>
        <w:tc>
          <w:tcPr>
            <w:tcW w:w="321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360" w:firstLineChars="20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02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555" w:type="pct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778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  <w:lang w:val="en-US" w:eastAsia="zh-CN"/>
              </w:rPr>
              <w:t>预算管理</w:t>
            </w:r>
          </w:p>
        </w:tc>
        <w:tc>
          <w:tcPr>
            <w:tcW w:w="75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  <w:lang w:val="en-US" w:eastAsia="zh-CN"/>
              </w:rPr>
              <w:t>预算管理规范性</w:t>
            </w:r>
          </w:p>
        </w:tc>
        <w:tc>
          <w:tcPr>
            <w:tcW w:w="432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  <w:lang w:val="en-US" w:eastAsia="zh-CN"/>
              </w:rPr>
              <w:t>基本型</w:t>
            </w:r>
          </w:p>
        </w:tc>
        <w:tc>
          <w:tcPr>
            <w:tcW w:w="413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  <w:lang w:val="en-US" w:eastAsia="zh-CN"/>
              </w:rPr>
              <w:t>0.5</w:t>
            </w:r>
          </w:p>
        </w:tc>
        <w:tc>
          <w:tcPr>
            <w:tcW w:w="68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  <w:lang w:val="en-US" w:eastAsia="zh-CN"/>
              </w:rPr>
              <w:t>是/否</w:t>
            </w:r>
          </w:p>
        </w:tc>
        <w:tc>
          <w:tcPr>
            <w:tcW w:w="559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  <w:lang w:eastAsia="zh-CN"/>
              </w:rPr>
              <w:t>是</w:t>
            </w:r>
          </w:p>
        </w:tc>
        <w:tc>
          <w:tcPr>
            <w:tcW w:w="321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360" w:firstLineChars="200"/>
              <w:jc w:val="center"/>
              <w:textAlignment w:val="auto"/>
              <w:rPr>
                <w:rFonts w:hint="default" w:ascii="宋体" w:hAnsi="宋体" w:eastAsia="宋体" w:cs="宋体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  <w:lang w:val="en-US" w:eastAsia="zh-CN"/>
              </w:rPr>
              <w:t>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02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555" w:type="pct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778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75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  <w:lang w:val="en-US" w:eastAsia="zh-CN"/>
              </w:rPr>
              <w:t>绩效管理规范性</w:t>
            </w:r>
          </w:p>
        </w:tc>
        <w:tc>
          <w:tcPr>
            <w:tcW w:w="432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  <w:lang w:val="en-US" w:eastAsia="zh-CN"/>
              </w:rPr>
              <w:t>基本型</w:t>
            </w:r>
          </w:p>
        </w:tc>
        <w:tc>
          <w:tcPr>
            <w:tcW w:w="413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  <w:lang w:val="en-US" w:eastAsia="zh-CN"/>
              </w:rPr>
              <w:t>0.5</w:t>
            </w:r>
          </w:p>
        </w:tc>
        <w:tc>
          <w:tcPr>
            <w:tcW w:w="68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  <w:lang w:val="en-US" w:eastAsia="zh-CN"/>
              </w:rPr>
              <w:t>是/否</w:t>
            </w:r>
          </w:p>
        </w:tc>
        <w:tc>
          <w:tcPr>
            <w:tcW w:w="559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  <w:lang w:eastAsia="zh-CN"/>
              </w:rPr>
              <w:t>是</w:t>
            </w:r>
          </w:p>
        </w:tc>
        <w:tc>
          <w:tcPr>
            <w:tcW w:w="321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360" w:firstLineChars="20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02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555" w:type="pct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778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75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  <w:lang w:val="en-US" w:eastAsia="zh-CN"/>
              </w:rPr>
              <w:t>资产管理规范性</w:t>
            </w:r>
          </w:p>
        </w:tc>
        <w:tc>
          <w:tcPr>
            <w:tcW w:w="432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  <w:lang w:val="en-US" w:eastAsia="zh-CN"/>
              </w:rPr>
              <w:t>基本型</w:t>
            </w:r>
          </w:p>
        </w:tc>
        <w:tc>
          <w:tcPr>
            <w:tcW w:w="413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  <w:lang w:val="en-US" w:eastAsia="zh-CN"/>
              </w:rPr>
              <w:t>0.5</w:t>
            </w:r>
          </w:p>
        </w:tc>
        <w:tc>
          <w:tcPr>
            <w:tcW w:w="68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  <w:lang w:val="en-US" w:eastAsia="zh-CN"/>
              </w:rPr>
              <w:t>是/否</w:t>
            </w:r>
          </w:p>
        </w:tc>
        <w:tc>
          <w:tcPr>
            <w:tcW w:w="559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  <w:lang w:eastAsia="zh-CN"/>
              </w:rPr>
              <w:t>是</w:t>
            </w:r>
          </w:p>
        </w:tc>
        <w:tc>
          <w:tcPr>
            <w:tcW w:w="321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360" w:firstLineChars="20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02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555" w:type="pct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778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75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  <w:lang w:val="en-US" w:eastAsia="zh-CN"/>
              </w:rPr>
              <w:t>政府采购管理规范性</w:t>
            </w:r>
          </w:p>
        </w:tc>
        <w:tc>
          <w:tcPr>
            <w:tcW w:w="432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  <w:lang w:val="en-US" w:eastAsia="zh-CN"/>
              </w:rPr>
              <w:t>基本型</w:t>
            </w:r>
          </w:p>
        </w:tc>
        <w:tc>
          <w:tcPr>
            <w:tcW w:w="413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  <w:lang w:val="en-US" w:eastAsia="zh-CN"/>
              </w:rPr>
              <w:t>0.5</w:t>
            </w:r>
          </w:p>
        </w:tc>
        <w:tc>
          <w:tcPr>
            <w:tcW w:w="68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  <w:lang w:val="en-US" w:eastAsia="zh-CN"/>
              </w:rPr>
              <w:t>是/否</w:t>
            </w:r>
          </w:p>
        </w:tc>
        <w:tc>
          <w:tcPr>
            <w:tcW w:w="559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  <w:lang w:eastAsia="zh-CN"/>
              </w:rPr>
              <w:t>是</w:t>
            </w:r>
          </w:p>
        </w:tc>
        <w:tc>
          <w:tcPr>
            <w:tcW w:w="321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360" w:firstLineChars="20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02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555" w:type="pct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778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  <w:lang w:val="en-US" w:eastAsia="zh-CN"/>
              </w:rPr>
              <w:t>业务管理</w:t>
            </w:r>
          </w:p>
        </w:tc>
        <w:tc>
          <w:tcPr>
            <w:tcW w:w="75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  <w:lang w:val="en-US" w:eastAsia="zh-CN"/>
              </w:rPr>
              <w:t>内控制度有效性</w:t>
            </w:r>
          </w:p>
        </w:tc>
        <w:tc>
          <w:tcPr>
            <w:tcW w:w="432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  <w:lang w:val="en-US" w:eastAsia="zh-CN"/>
              </w:rPr>
              <w:t>基本型</w:t>
            </w:r>
          </w:p>
        </w:tc>
        <w:tc>
          <w:tcPr>
            <w:tcW w:w="413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  <w:lang w:val="en-US" w:eastAsia="zh-CN"/>
              </w:rPr>
              <w:t>0.5</w:t>
            </w:r>
          </w:p>
        </w:tc>
        <w:tc>
          <w:tcPr>
            <w:tcW w:w="68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  <w:lang w:val="en-US" w:eastAsia="zh-CN"/>
              </w:rPr>
              <w:t>是/否</w:t>
            </w:r>
          </w:p>
        </w:tc>
        <w:tc>
          <w:tcPr>
            <w:tcW w:w="559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  <w:lang w:eastAsia="zh-CN"/>
              </w:rPr>
              <w:t>是</w:t>
            </w:r>
          </w:p>
        </w:tc>
        <w:tc>
          <w:tcPr>
            <w:tcW w:w="321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360" w:firstLineChars="20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02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555" w:type="pct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778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75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432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413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68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559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321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02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555" w:type="pct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  <w:lang w:val="en-US" w:eastAsia="zh-CN"/>
              </w:rPr>
              <w:t>履职效能</w:t>
            </w:r>
          </w:p>
        </w:tc>
        <w:tc>
          <w:tcPr>
            <w:tcW w:w="77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  <w:lang w:val="en-US" w:eastAsia="zh-CN"/>
              </w:rPr>
              <w:t>核心产出1</w:t>
            </w:r>
          </w:p>
        </w:tc>
        <w:tc>
          <w:tcPr>
            <w:tcW w:w="75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432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413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68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559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321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02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555" w:type="pct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77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  <w:lang w:val="en-US" w:eastAsia="zh-CN"/>
              </w:rPr>
              <w:t>核心产出2</w:t>
            </w:r>
          </w:p>
        </w:tc>
        <w:tc>
          <w:tcPr>
            <w:tcW w:w="75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432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413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68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559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321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02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555" w:type="pct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77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……</w:t>
            </w:r>
          </w:p>
        </w:tc>
        <w:tc>
          <w:tcPr>
            <w:tcW w:w="75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432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413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68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559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321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02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555" w:type="pct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  <w:lang w:val="en-US" w:eastAsia="zh-CN"/>
              </w:rPr>
              <w:t>社会效益</w:t>
            </w:r>
          </w:p>
        </w:tc>
        <w:tc>
          <w:tcPr>
            <w:tcW w:w="77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  <w:lang w:val="en-US" w:eastAsia="zh-CN"/>
              </w:rPr>
              <w:t>经济效益</w:t>
            </w:r>
          </w:p>
        </w:tc>
        <w:tc>
          <w:tcPr>
            <w:tcW w:w="75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432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413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68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559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321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02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555" w:type="pct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77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  <w:lang w:val="en-US" w:eastAsia="zh-CN"/>
              </w:rPr>
              <w:t>社会效益</w:t>
            </w:r>
          </w:p>
        </w:tc>
        <w:tc>
          <w:tcPr>
            <w:tcW w:w="75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432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413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68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559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321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02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555" w:type="pct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77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  <w:lang w:val="en-US" w:eastAsia="zh-CN"/>
              </w:rPr>
              <w:t>生态效益</w:t>
            </w:r>
          </w:p>
        </w:tc>
        <w:tc>
          <w:tcPr>
            <w:tcW w:w="75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432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413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68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559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321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02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555" w:type="pct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77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……</w:t>
            </w:r>
          </w:p>
        </w:tc>
        <w:tc>
          <w:tcPr>
            <w:tcW w:w="75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432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413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68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559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321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02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555" w:type="pct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  <w:lang w:val="en-US" w:eastAsia="zh-CN"/>
              </w:rPr>
              <w:t>可持续发展能力</w:t>
            </w:r>
          </w:p>
        </w:tc>
        <w:tc>
          <w:tcPr>
            <w:tcW w:w="77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  <w:lang w:val="en-US" w:eastAsia="zh-CN"/>
              </w:rPr>
              <w:t>体制机制改革</w:t>
            </w:r>
          </w:p>
        </w:tc>
        <w:tc>
          <w:tcPr>
            <w:tcW w:w="75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432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413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68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559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321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02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555" w:type="pct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77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  <w:lang w:val="en-US" w:eastAsia="zh-CN"/>
              </w:rPr>
              <w:t>人才支撑</w:t>
            </w:r>
          </w:p>
        </w:tc>
        <w:tc>
          <w:tcPr>
            <w:tcW w:w="75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432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413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68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559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321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02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555" w:type="pct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77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  <w:lang w:val="en-US" w:eastAsia="zh-CN"/>
              </w:rPr>
              <w:t>科技支撑</w:t>
            </w:r>
          </w:p>
        </w:tc>
        <w:tc>
          <w:tcPr>
            <w:tcW w:w="75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432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413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68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559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321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02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555" w:type="pct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  <w:lang w:val="en-US" w:eastAsia="zh-CN"/>
              </w:rPr>
              <w:t>服务对象满意度</w:t>
            </w:r>
          </w:p>
        </w:tc>
        <w:tc>
          <w:tcPr>
            <w:tcW w:w="77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  <w:lang w:val="en-US" w:eastAsia="zh-CN"/>
              </w:rPr>
              <w:t>服务对象满意度</w:t>
            </w:r>
          </w:p>
        </w:tc>
        <w:tc>
          <w:tcPr>
            <w:tcW w:w="75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432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413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68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559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321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02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555" w:type="pct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77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  <w:lang w:val="en-US" w:eastAsia="zh-CN"/>
              </w:rPr>
              <w:t>联系部门满意度</w:t>
            </w:r>
          </w:p>
        </w:tc>
        <w:tc>
          <w:tcPr>
            <w:tcW w:w="75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432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413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68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559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321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57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年度绩效目标2（XX分）</w:t>
            </w:r>
          </w:p>
        </w:tc>
        <w:tc>
          <w:tcPr>
            <w:tcW w:w="3942" w:type="pct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0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……</w:t>
            </w:r>
          </w:p>
        </w:tc>
        <w:tc>
          <w:tcPr>
            <w:tcW w:w="555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77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75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432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413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683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559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31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57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总分</w:t>
            </w:r>
          </w:p>
        </w:tc>
        <w:tc>
          <w:tcPr>
            <w:tcW w:w="3942" w:type="pct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default" w:ascii="宋体" w:hAnsi="宋体" w:eastAsia="宋体" w:cs="宋体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  <w:lang w:val="en-US" w:eastAsia="zh-CN"/>
              </w:rPr>
              <w:t>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6" w:hRule="atLeast"/>
          <w:jc w:val="center"/>
        </w:trPr>
        <w:tc>
          <w:tcPr>
            <w:tcW w:w="1057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偏差大或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目标未完成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原因分析</w:t>
            </w:r>
          </w:p>
        </w:tc>
        <w:tc>
          <w:tcPr>
            <w:tcW w:w="3942" w:type="pct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  <w:lang w:eastAsia="zh-CN"/>
              </w:rPr>
              <w:t>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1" w:hRule="atLeast"/>
          <w:jc w:val="center"/>
        </w:trPr>
        <w:tc>
          <w:tcPr>
            <w:tcW w:w="1057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改进措施及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结果应用方案</w:t>
            </w:r>
          </w:p>
        </w:tc>
        <w:tc>
          <w:tcPr>
            <w:tcW w:w="3942" w:type="pct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</w:pPr>
          </w:p>
        </w:tc>
      </w:tr>
    </w:tbl>
    <w:p>
      <w:pPr>
        <w:widowControl/>
        <w:spacing w:line="240" w:lineRule="auto"/>
        <w:ind w:firstLine="0" w:firstLineChars="0"/>
        <w:rPr>
          <w:rFonts w:ascii="仿宋_GB2312" w:hAnsi="宋体" w:eastAsia="仿宋_GB2312" w:cs="Times New Roman"/>
          <w:kern w:val="0"/>
          <w:sz w:val="20"/>
          <w:szCs w:val="20"/>
          <w:highlight w:val="none"/>
        </w:rPr>
      </w:pPr>
      <w:r>
        <w:rPr>
          <w:rFonts w:hint="eastAsia" w:ascii="仿宋_GB2312" w:hAnsi="宋体" w:eastAsia="仿宋_GB2312" w:cs="仿宋_GB2312"/>
          <w:kern w:val="0"/>
          <w:sz w:val="20"/>
          <w:szCs w:val="20"/>
          <w:highlight w:val="none"/>
        </w:rPr>
        <w:t>备注：</w:t>
      </w:r>
    </w:p>
    <w:p>
      <w:pPr>
        <w:widowControl/>
        <w:spacing w:line="240" w:lineRule="auto"/>
        <w:ind w:firstLine="400" w:firstLineChars="200"/>
        <w:rPr>
          <w:rFonts w:ascii="仿宋_GB2312" w:hAnsi="宋体" w:eastAsia="仿宋_GB2312" w:cs="Times New Roman"/>
          <w:kern w:val="0"/>
          <w:sz w:val="20"/>
          <w:szCs w:val="20"/>
          <w:highlight w:val="none"/>
        </w:rPr>
      </w:pPr>
      <w:r>
        <w:rPr>
          <w:rFonts w:hint="eastAsia" w:ascii="仿宋_GB2312" w:hAnsi="宋体" w:cs="仿宋_GB2312"/>
          <w:kern w:val="0"/>
          <w:sz w:val="20"/>
          <w:szCs w:val="20"/>
          <w:highlight w:val="none"/>
          <w:lang w:val="en-US" w:eastAsia="zh-CN"/>
        </w:rPr>
        <w:t>1</w:t>
      </w:r>
      <w:r>
        <w:rPr>
          <w:rFonts w:ascii="仿宋_GB2312" w:hAnsi="宋体" w:eastAsia="仿宋_GB2312" w:cs="仿宋_GB2312"/>
          <w:kern w:val="0"/>
          <w:sz w:val="20"/>
          <w:szCs w:val="20"/>
          <w:highlight w:val="none"/>
        </w:rPr>
        <w:t>.</w:t>
      </w:r>
      <w:r>
        <w:rPr>
          <w:rFonts w:hint="eastAsia" w:ascii="仿宋_GB2312" w:hAnsi="宋体" w:eastAsia="仿宋_GB2312" w:cs="仿宋_GB2312"/>
          <w:kern w:val="0"/>
          <w:sz w:val="20"/>
          <w:szCs w:val="20"/>
          <w:highlight w:val="none"/>
        </w:rPr>
        <w:t>定量指标完成数汇总原则：绝对值直接累加计算，相对值按照资金额度加权平均计算。定量指标计分原则：正向指标（即目标值为≥</w:t>
      </w:r>
      <w:r>
        <w:rPr>
          <w:rFonts w:ascii="仿宋_GB2312" w:hAnsi="宋体" w:eastAsia="仿宋_GB2312" w:cs="仿宋_GB2312"/>
          <w:kern w:val="0"/>
          <w:sz w:val="20"/>
          <w:szCs w:val="20"/>
          <w:highlight w:val="none"/>
        </w:rPr>
        <w:t>X</w:t>
      </w:r>
      <w:r>
        <w:rPr>
          <w:rFonts w:hint="eastAsia" w:ascii="仿宋_GB2312" w:hAnsi="宋体" w:cs="仿宋_GB2312"/>
          <w:kern w:val="0"/>
          <w:sz w:val="20"/>
          <w:szCs w:val="20"/>
          <w:highlight w:val="none"/>
          <w:lang w:eastAsia="zh-CN"/>
        </w:rPr>
        <w:t>，</w:t>
      </w:r>
      <w:r>
        <w:rPr>
          <w:rFonts w:hint="eastAsia" w:ascii="仿宋_GB2312" w:hAnsi="宋体" w:eastAsia="仿宋_GB2312" w:cs="仿宋_GB2312"/>
          <w:kern w:val="0"/>
          <w:sz w:val="20"/>
          <w:szCs w:val="20"/>
          <w:highlight w:val="none"/>
        </w:rPr>
        <w:t>得分</w:t>
      </w:r>
      <w:r>
        <w:rPr>
          <w:rFonts w:ascii="仿宋_GB2312" w:hAnsi="宋体" w:eastAsia="仿宋_GB2312" w:cs="仿宋_GB2312"/>
          <w:kern w:val="0"/>
          <w:sz w:val="20"/>
          <w:szCs w:val="20"/>
          <w:highlight w:val="none"/>
        </w:rPr>
        <w:t>=</w:t>
      </w:r>
      <w:r>
        <w:rPr>
          <w:rFonts w:hint="eastAsia" w:ascii="仿宋_GB2312" w:hAnsi="宋体" w:eastAsia="仿宋_GB2312" w:cs="仿宋_GB2312"/>
          <w:kern w:val="0"/>
          <w:sz w:val="20"/>
          <w:szCs w:val="20"/>
          <w:highlight w:val="none"/>
        </w:rPr>
        <w:t>权重</w:t>
      </w:r>
      <w:r>
        <w:rPr>
          <w:rFonts w:ascii="仿宋_GB2312" w:hAnsi="宋体" w:eastAsia="仿宋_GB2312" w:cs="仿宋_GB2312"/>
          <w:kern w:val="0"/>
          <w:sz w:val="20"/>
          <w:szCs w:val="20"/>
          <w:highlight w:val="none"/>
        </w:rPr>
        <w:t>*B/A</w:t>
      </w:r>
      <w:r>
        <w:rPr>
          <w:rFonts w:hint="eastAsia" w:ascii="仿宋_GB2312" w:hAnsi="宋体" w:eastAsia="仿宋_GB2312" w:cs="仿宋_GB2312"/>
          <w:kern w:val="0"/>
          <w:sz w:val="20"/>
          <w:szCs w:val="20"/>
          <w:highlight w:val="none"/>
        </w:rPr>
        <w:t>），反向指标（即目标值为≤</w:t>
      </w:r>
      <w:r>
        <w:rPr>
          <w:rFonts w:ascii="仿宋_GB2312" w:hAnsi="宋体" w:eastAsia="仿宋_GB2312" w:cs="仿宋_GB2312"/>
          <w:kern w:val="0"/>
          <w:sz w:val="20"/>
          <w:szCs w:val="20"/>
          <w:highlight w:val="none"/>
        </w:rPr>
        <w:t>X</w:t>
      </w:r>
      <w:r>
        <w:rPr>
          <w:rFonts w:hint="eastAsia" w:ascii="仿宋_GB2312" w:hAnsi="宋体" w:eastAsia="仿宋_GB2312" w:cs="仿宋_GB2312"/>
          <w:kern w:val="0"/>
          <w:sz w:val="20"/>
          <w:szCs w:val="20"/>
          <w:highlight w:val="none"/>
        </w:rPr>
        <w:t>，得分</w:t>
      </w:r>
      <w:r>
        <w:rPr>
          <w:rFonts w:ascii="仿宋_GB2312" w:hAnsi="宋体" w:eastAsia="仿宋_GB2312" w:cs="仿宋_GB2312"/>
          <w:kern w:val="0"/>
          <w:sz w:val="20"/>
          <w:szCs w:val="20"/>
          <w:highlight w:val="none"/>
        </w:rPr>
        <w:t>=</w:t>
      </w:r>
      <w:r>
        <w:rPr>
          <w:rFonts w:hint="eastAsia" w:ascii="仿宋_GB2312" w:hAnsi="宋体" w:eastAsia="仿宋_GB2312" w:cs="仿宋_GB2312"/>
          <w:kern w:val="0"/>
          <w:sz w:val="20"/>
          <w:szCs w:val="20"/>
          <w:highlight w:val="none"/>
        </w:rPr>
        <w:t>权重</w:t>
      </w:r>
      <w:r>
        <w:rPr>
          <w:rFonts w:ascii="仿宋_GB2312" w:hAnsi="宋体" w:eastAsia="仿宋_GB2312" w:cs="仿宋_GB2312"/>
          <w:kern w:val="0"/>
          <w:sz w:val="20"/>
          <w:szCs w:val="20"/>
          <w:highlight w:val="none"/>
        </w:rPr>
        <w:t>*A/B）</w:t>
      </w:r>
      <w:r>
        <w:rPr>
          <w:rFonts w:hint="eastAsia" w:ascii="仿宋_GB2312" w:hAnsi="宋体" w:eastAsia="仿宋_GB2312" w:cs="仿宋_GB2312"/>
          <w:kern w:val="0"/>
          <w:sz w:val="20"/>
          <w:szCs w:val="20"/>
          <w:highlight w:val="none"/>
        </w:rPr>
        <w:t>，得分不得突破权重总额。定量指标先汇总完成数，再计算得分。</w:t>
      </w:r>
    </w:p>
    <w:p>
      <w:pPr>
        <w:widowControl/>
        <w:spacing w:line="240" w:lineRule="auto"/>
        <w:ind w:firstLine="400" w:firstLineChars="200"/>
        <w:rPr>
          <w:rFonts w:ascii="仿宋_GB2312" w:hAnsi="宋体" w:eastAsia="仿宋_GB2312" w:cs="Times New Roman"/>
          <w:kern w:val="0"/>
          <w:sz w:val="20"/>
          <w:szCs w:val="20"/>
          <w:highlight w:val="none"/>
        </w:rPr>
      </w:pPr>
      <w:r>
        <w:rPr>
          <w:rFonts w:hint="eastAsia" w:ascii="仿宋_GB2312" w:hAnsi="宋体" w:cs="仿宋_GB2312"/>
          <w:kern w:val="0"/>
          <w:sz w:val="20"/>
          <w:szCs w:val="20"/>
          <w:highlight w:val="none"/>
          <w:lang w:val="en-US" w:eastAsia="zh-CN"/>
        </w:rPr>
        <w:t>2</w:t>
      </w:r>
      <w:r>
        <w:rPr>
          <w:rFonts w:ascii="仿宋_GB2312" w:hAnsi="宋体" w:eastAsia="仿宋_GB2312" w:cs="仿宋_GB2312"/>
          <w:kern w:val="0"/>
          <w:sz w:val="20"/>
          <w:szCs w:val="20"/>
          <w:highlight w:val="none"/>
        </w:rPr>
        <w:t>.</w:t>
      </w:r>
      <w:r>
        <w:rPr>
          <w:rFonts w:hint="eastAsia" w:ascii="仿宋_GB2312" w:hAnsi="宋体" w:eastAsia="仿宋_GB2312" w:cs="仿宋_GB2312"/>
          <w:kern w:val="0"/>
          <w:sz w:val="20"/>
          <w:szCs w:val="20"/>
          <w:highlight w:val="none"/>
        </w:rPr>
        <w:t>定性指标计分原则：达成预期指标、部分达成预期指标并具有一定效果、未达成预期指标且效果较差三档，分别按照该指标对应分值区间</w:t>
      </w:r>
      <w:r>
        <w:rPr>
          <w:rFonts w:ascii="仿宋_GB2312" w:hAnsi="宋体" w:eastAsia="仿宋_GB2312" w:cs="仿宋_GB2312"/>
          <w:kern w:val="0"/>
          <w:sz w:val="20"/>
          <w:szCs w:val="20"/>
          <w:highlight w:val="none"/>
        </w:rPr>
        <w:t>100-80%</w:t>
      </w:r>
      <w:r>
        <w:rPr>
          <w:rFonts w:hint="eastAsia" w:ascii="仿宋_GB2312" w:hAnsi="宋体" w:eastAsia="仿宋_GB2312" w:cs="仿宋_GB2312"/>
          <w:kern w:val="0"/>
          <w:sz w:val="20"/>
          <w:szCs w:val="20"/>
          <w:highlight w:val="none"/>
        </w:rPr>
        <w:t>（含</w:t>
      </w:r>
      <w:r>
        <w:rPr>
          <w:rFonts w:ascii="仿宋_GB2312" w:hAnsi="宋体" w:eastAsia="仿宋_GB2312" w:cs="仿宋_GB2312"/>
          <w:kern w:val="0"/>
          <w:sz w:val="20"/>
          <w:szCs w:val="20"/>
          <w:highlight w:val="none"/>
        </w:rPr>
        <w:t>80%</w:t>
      </w:r>
      <w:r>
        <w:rPr>
          <w:rFonts w:hint="eastAsia" w:ascii="仿宋_GB2312" w:hAnsi="宋体" w:eastAsia="仿宋_GB2312" w:cs="仿宋_GB2312"/>
          <w:kern w:val="0"/>
          <w:sz w:val="20"/>
          <w:szCs w:val="20"/>
          <w:highlight w:val="none"/>
        </w:rPr>
        <w:t>）、</w:t>
      </w:r>
      <w:r>
        <w:rPr>
          <w:rFonts w:ascii="仿宋_GB2312" w:hAnsi="宋体" w:eastAsia="仿宋_GB2312" w:cs="仿宋_GB2312"/>
          <w:kern w:val="0"/>
          <w:sz w:val="20"/>
          <w:szCs w:val="20"/>
          <w:highlight w:val="none"/>
        </w:rPr>
        <w:t>80-50%</w:t>
      </w:r>
      <w:r>
        <w:rPr>
          <w:rFonts w:hint="eastAsia" w:ascii="仿宋_GB2312" w:hAnsi="宋体" w:eastAsia="仿宋_GB2312" w:cs="仿宋_GB2312"/>
          <w:kern w:val="0"/>
          <w:sz w:val="20"/>
          <w:szCs w:val="20"/>
          <w:highlight w:val="none"/>
        </w:rPr>
        <w:t>（含</w:t>
      </w:r>
      <w:r>
        <w:rPr>
          <w:rFonts w:ascii="仿宋_GB2312" w:hAnsi="宋体" w:eastAsia="仿宋_GB2312" w:cs="仿宋_GB2312"/>
          <w:kern w:val="0"/>
          <w:sz w:val="20"/>
          <w:szCs w:val="20"/>
          <w:highlight w:val="none"/>
        </w:rPr>
        <w:t>50%</w:t>
      </w:r>
      <w:r>
        <w:rPr>
          <w:rFonts w:hint="eastAsia" w:ascii="仿宋_GB2312" w:hAnsi="宋体" w:eastAsia="仿宋_GB2312" w:cs="仿宋_GB2312"/>
          <w:kern w:val="0"/>
          <w:sz w:val="20"/>
          <w:szCs w:val="20"/>
          <w:highlight w:val="none"/>
        </w:rPr>
        <w:t>）、</w:t>
      </w:r>
      <w:r>
        <w:rPr>
          <w:rFonts w:ascii="仿宋_GB2312" w:hAnsi="宋体" w:eastAsia="仿宋_GB2312" w:cs="仿宋_GB2312"/>
          <w:kern w:val="0"/>
          <w:sz w:val="20"/>
          <w:szCs w:val="20"/>
          <w:highlight w:val="none"/>
        </w:rPr>
        <w:t>50-0%</w:t>
      </w:r>
      <w:r>
        <w:rPr>
          <w:rFonts w:hint="eastAsia" w:ascii="仿宋_GB2312" w:hAnsi="宋体" w:eastAsia="仿宋_GB2312" w:cs="仿宋_GB2312"/>
          <w:kern w:val="0"/>
          <w:sz w:val="20"/>
          <w:szCs w:val="20"/>
          <w:highlight w:val="none"/>
        </w:rPr>
        <w:t>合理确定分值。汇总时，以资金额度为权重，对分值进行加权平均计算。</w:t>
      </w:r>
    </w:p>
    <w:p>
      <w:pPr>
        <w:widowControl/>
        <w:spacing w:line="240" w:lineRule="auto"/>
        <w:ind w:firstLine="400" w:firstLineChars="200"/>
        <w:rPr>
          <w:rFonts w:hint="eastAsia" w:ascii="仿宋_GB2312" w:hAnsi="宋体" w:cs="仿宋_GB2312"/>
          <w:kern w:val="0"/>
          <w:sz w:val="20"/>
          <w:szCs w:val="20"/>
          <w:highlight w:val="none"/>
          <w:lang w:val="en-US" w:eastAsia="zh-CN"/>
        </w:rPr>
      </w:pPr>
      <w:r>
        <w:rPr>
          <w:rFonts w:hint="eastAsia" w:ascii="仿宋_GB2312" w:hAnsi="宋体" w:cs="仿宋_GB2312"/>
          <w:kern w:val="0"/>
          <w:sz w:val="20"/>
          <w:szCs w:val="20"/>
          <w:highlight w:val="none"/>
          <w:lang w:val="en-US" w:eastAsia="zh-CN"/>
        </w:rPr>
        <w:t>3</w:t>
      </w:r>
      <w:r>
        <w:rPr>
          <w:rFonts w:ascii="仿宋_GB2312" w:hAnsi="宋体" w:eastAsia="仿宋_GB2312" w:cs="仿宋_GB2312"/>
          <w:kern w:val="0"/>
          <w:sz w:val="20"/>
          <w:szCs w:val="20"/>
          <w:highlight w:val="none"/>
        </w:rPr>
        <w:t>.</w:t>
      </w:r>
      <w:r>
        <w:rPr>
          <w:rFonts w:hint="eastAsia" w:ascii="仿宋_GB2312" w:hAnsi="宋体" w:cs="仿宋_GB2312"/>
          <w:kern w:val="0"/>
          <w:sz w:val="20"/>
          <w:szCs w:val="20"/>
          <w:highlight w:val="none"/>
          <w:lang w:val="en-US" w:eastAsia="zh-CN"/>
        </w:rPr>
        <w:t>指标分级为绩效基本型、绩效创新型。基本型指标：保持已有的工作水平，不存在突破性进展的指标。绩效创新型指标：通过体制创新、机制创新、科技创新等，某项工作取得突破性进展或极大促进了本部门整体绩效提升的指标。</w:t>
      </w:r>
    </w:p>
    <w:p>
      <w:pPr>
        <w:widowControl/>
        <w:spacing w:line="240" w:lineRule="auto"/>
        <w:ind w:firstLine="400" w:firstLineChars="200"/>
        <w:rPr>
          <w:rFonts w:hint="default" w:ascii="仿宋_GB2312" w:hAnsi="宋体" w:cs="仿宋_GB2312"/>
          <w:kern w:val="0"/>
          <w:sz w:val="20"/>
          <w:szCs w:val="20"/>
          <w:highlight w:val="none"/>
          <w:lang w:val="en-US" w:eastAsia="zh-CN"/>
        </w:rPr>
      </w:pPr>
      <w:r>
        <w:rPr>
          <w:rFonts w:hint="eastAsia" w:ascii="仿宋_GB2312" w:hAnsi="宋体" w:cs="仿宋_GB2312"/>
          <w:kern w:val="0"/>
          <w:sz w:val="20"/>
          <w:szCs w:val="20"/>
          <w:highlight w:val="none"/>
          <w:lang w:val="en-US" w:eastAsia="zh-CN"/>
        </w:rPr>
        <w:t>4、原则上运行成本和管理效率指标权重占比不高于40%。</w:t>
      </w:r>
    </w:p>
    <w:p>
      <w:pPr>
        <w:widowControl/>
        <w:spacing w:line="240" w:lineRule="auto"/>
        <w:ind w:firstLine="400" w:firstLineChars="200"/>
        <w:rPr>
          <w:rFonts w:hint="eastAsia" w:ascii="仿宋_GB2312" w:hAnsi="宋体" w:cs="仿宋_GB2312"/>
          <w:kern w:val="0"/>
          <w:sz w:val="20"/>
          <w:szCs w:val="20"/>
          <w:highlight w:val="none"/>
          <w:lang w:val="en-US" w:eastAsia="zh-CN"/>
        </w:rPr>
      </w:pPr>
      <w:r>
        <w:rPr>
          <w:rFonts w:hint="eastAsia" w:ascii="仿宋_GB2312" w:hAnsi="宋体" w:cs="仿宋_GB2312"/>
          <w:kern w:val="0"/>
          <w:sz w:val="20"/>
          <w:szCs w:val="20"/>
          <w:highlight w:val="none"/>
          <w:lang w:val="en-US" w:eastAsia="zh-CN"/>
        </w:rPr>
        <w:t>5、项目支出总额小于1000万元（含），整体绩效自评出具自评表；大于1000万元的应当出具文字形式的整体绩效自评结果（见附件6）。</w:t>
      </w:r>
    </w:p>
    <w:p>
      <w:pPr>
        <w:widowControl/>
        <w:spacing w:line="240" w:lineRule="auto"/>
        <w:ind w:firstLine="400" w:firstLineChars="200"/>
        <w:rPr>
          <w:rFonts w:hint="eastAsia" w:ascii="仿宋_GB2312" w:hAnsi="宋体" w:cs="仿宋_GB2312"/>
          <w:kern w:val="0"/>
          <w:sz w:val="20"/>
          <w:szCs w:val="20"/>
          <w:highlight w:val="none"/>
          <w:lang w:val="en-US" w:eastAsia="zh-CN"/>
        </w:rPr>
      </w:pPr>
      <w:r>
        <w:rPr>
          <w:rFonts w:hint="eastAsia" w:ascii="仿宋_GB2312" w:hAnsi="宋体" w:cs="仿宋_GB2312"/>
          <w:kern w:val="0"/>
          <w:sz w:val="20"/>
          <w:szCs w:val="20"/>
          <w:highlight w:val="none"/>
          <w:lang w:val="en-US" w:eastAsia="zh-CN"/>
        </w:rPr>
        <w:t>6、均应设置运行成本、管理效率、履职效能、社会效应、可持续发展能力指标，服务对象满意度指标根据实际需要选用。</w:t>
      </w:r>
    </w:p>
    <w:p>
      <w:pPr>
        <w:widowControl/>
        <w:spacing w:line="240" w:lineRule="auto"/>
        <w:ind w:firstLine="400" w:firstLineChars="200"/>
        <w:rPr>
          <w:rFonts w:hint="default" w:ascii="仿宋_GB2312" w:hAnsi="宋体" w:cs="仿宋_GB2312"/>
          <w:kern w:val="0"/>
          <w:sz w:val="20"/>
          <w:szCs w:val="20"/>
          <w:highlight w:val="none"/>
          <w:lang w:val="en-US" w:eastAsia="zh-CN"/>
        </w:rPr>
      </w:pPr>
      <w:r>
        <w:rPr>
          <w:rFonts w:hint="eastAsia" w:ascii="仿宋_GB2312" w:hAnsi="宋体" w:cs="仿宋_GB2312"/>
          <w:kern w:val="0"/>
          <w:sz w:val="20"/>
          <w:szCs w:val="20"/>
          <w:highlight w:val="none"/>
          <w:lang w:val="en-US" w:eastAsia="zh-CN"/>
        </w:rPr>
        <w:t>7、二级指标和三级指标均可根据部门特点增减。重点业务、核心产出根据实际选用具体名称。</w:t>
      </w:r>
    </w:p>
    <w:p>
      <w:pPr>
        <w:widowControl/>
        <w:spacing w:line="240" w:lineRule="auto"/>
        <w:ind w:firstLine="400" w:firstLineChars="200"/>
        <w:rPr>
          <w:rFonts w:hint="default" w:ascii="仿宋_GB2312" w:hAnsi="宋体" w:cs="仿宋_GB2312"/>
          <w:kern w:val="0"/>
          <w:sz w:val="20"/>
          <w:szCs w:val="20"/>
          <w:highlight w:val="none"/>
          <w:lang w:val="en-US" w:eastAsia="zh-CN"/>
        </w:rPr>
        <w:sectPr>
          <w:footerReference r:id="rId5" w:type="default"/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rPr>
        <w:rFonts w:ascii="宋体" w:hAnsi="宋体" w:eastAsia="宋体" w:cs="宋体"/>
        <w:sz w:val="31"/>
        <w:szCs w:val="31"/>
      </w:rPr>
    </w:pPr>
    <w:r>
      <w:rPr>
        <w:rFonts w:ascii="宋体" w:hAnsi="宋体" w:eastAsia="宋体" w:cs="宋体"/>
        <w:spacing w:val="-13"/>
        <w:sz w:val="31"/>
        <w:szCs w:val="31"/>
      </w:rPr>
      <w:t>—6—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YwMTJhYWQ1NDRiMGFkYmU3MzFlMjQzOTk0OTU3YWIifQ=="/>
  </w:docVars>
  <w:rsids>
    <w:rsidRoot w:val="00000000"/>
    <w:rsid w:val="06961AD3"/>
    <w:rsid w:val="291911D2"/>
    <w:rsid w:val="52167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60" w:lineRule="exact"/>
      <w:ind w:firstLine="640" w:firstLineChars="20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paragraph" w:styleId="2">
    <w:name w:val="heading 1"/>
    <w:basedOn w:val="3"/>
    <w:next w:val="4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4">
    <w:name w:val="heading 2"/>
    <w:basedOn w:val="1"/>
    <w:next w:val="1"/>
    <w:qFormat/>
    <w:uiPriority w:val="0"/>
    <w:pPr>
      <w:keepNext/>
      <w:keepLines/>
      <w:spacing w:before="260" w:beforeLines="0" w:after="260" w:afterLines="0" w:line="416" w:lineRule="auto"/>
      <w:jc w:val="center"/>
      <w:outlineLvl w:val="1"/>
    </w:pPr>
    <w:rPr>
      <w:rFonts w:ascii="Times New Roman" w:hAnsi="Times New Roman" w:eastAsia="黑体"/>
      <w:b/>
      <w:bCs/>
      <w:sz w:val="36"/>
      <w:szCs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891</Words>
  <Characters>952</Characters>
  <Lines>0</Lines>
  <Paragraphs>0</Paragraphs>
  <TotalTime>1</TotalTime>
  <ScaleCrop>false</ScaleCrop>
  <LinksUpToDate>false</LinksUpToDate>
  <CharactersWithSpaces>962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2023-03-13T07:54:00Z</dcterms:created>
  <dc:creator>Administrator</dc:creator>
  <cp:lastModifiedBy>涟潋</cp:lastModifiedBy>
  <dcterms:modified xsi:type="dcterms:W3CDTF">2023-03-31T08:44:21Z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E6B86EAD9B374908B02F0DE9EC415756</vt:lpwstr>
  </property>
</Properties>
</file>